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F4" w:rsidRPr="0053705C" w:rsidRDefault="00D239F4" w:rsidP="00D239F4">
      <w:pPr>
        <w:rPr>
          <w:b/>
          <w:color w:val="0000FF"/>
          <w:sz w:val="24"/>
          <w:szCs w:val="24"/>
        </w:rPr>
      </w:pPr>
      <w:r w:rsidRPr="0053705C">
        <w:rPr>
          <w:b/>
          <w:color w:val="0000FF"/>
          <w:sz w:val="24"/>
          <w:szCs w:val="24"/>
        </w:rPr>
        <w:t>Végzettségi szintek el nem ismerése és a munkaerő szabad áramlásának korlátozása az EU-ban</w:t>
      </w:r>
    </w:p>
    <w:p w:rsidR="00D239F4" w:rsidRPr="0053705C" w:rsidRDefault="00D239F4" w:rsidP="00D239F4">
      <w:pPr>
        <w:rPr>
          <w:sz w:val="24"/>
          <w:szCs w:val="24"/>
        </w:rPr>
      </w:pPr>
      <w:r w:rsidRPr="0053705C">
        <w:rPr>
          <w:sz w:val="24"/>
          <w:szCs w:val="24"/>
        </w:rPr>
        <w:t xml:space="preserve">Az év elején írásban fordultam az Európai Bizottság illetékes biztosaihoz, hogy az egyetemi diplomák és tudományos címek honosításával kapcsolatos közös irányelvekre vonatkozóan tisztázzak néhány, sokak életét megkeserítő kérdést. Tudomásunk van ugyanis olyan személyekről, akik miután Magyarországon tanári (tanítói) egyetemi végzettséget szereztek, Szlovákiában specifikus, ún. </w:t>
      </w:r>
      <w:proofErr w:type="spellStart"/>
      <w:r w:rsidRPr="0053705C">
        <w:rPr>
          <w:sz w:val="24"/>
          <w:szCs w:val="24"/>
        </w:rPr>
        <w:t>PaedDr</w:t>
      </w:r>
      <w:proofErr w:type="spellEnd"/>
      <w:r w:rsidRPr="0053705C">
        <w:rPr>
          <w:sz w:val="24"/>
          <w:szCs w:val="24"/>
        </w:rPr>
        <w:t xml:space="preserve">. (pedagógia kisdoktori) képzettséget kívánnak szerezni. Kérésüket az érintett egyetemek a Szlovák Köztársaság Oktatásügyi Minisztériumának állásfoglalása alapján nem tették lehetővé arra hivatkozva, hogy a szóban forgó képzés előfeltétele a mesterképzés elvégzése (magiszteri egyetemi végzettség) és a </w:t>
      </w:r>
      <w:proofErr w:type="spellStart"/>
      <w:r w:rsidRPr="0053705C">
        <w:rPr>
          <w:sz w:val="24"/>
          <w:szCs w:val="24"/>
        </w:rPr>
        <w:t>Mgr</w:t>
      </w:r>
      <w:proofErr w:type="spellEnd"/>
      <w:r w:rsidRPr="0053705C">
        <w:rPr>
          <w:sz w:val="24"/>
          <w:szCs w:val="24"/>
        </w:rPr>
        <w:t xml:space="preserve">. </w:t>
      </w:r>
      <w:proofErr w:type="gramStart"/>
      <w:r w:rsidRPr="0053705C">
        <w:rPr>
          <w:sz w:val="24"/>
          <w:szCs w:val="24"/>
        </w:rPr>
        <w:t>cím</w:t>
      </w:r>
      <w:proofErr w:type="gramEnd"/>
      <w:r w:rsidRPr="0053705C">
        <w:rPr>
          <w:sz w:val="24"/>
          <w:szCs w:val="24"/>
        </w:rPr>
        <w:t xml:space="preserve"> elnyerése. A Magyarországon megszerezhető mesterfokú egyetemi végzettség egyenrangú a szlovákiaival, ugyanakkor a magyar rendszerben nem jár azzal magiszteri (</w:t>
      </w:r>
      <w:proofErr w:type="spellStart"/>
      <w:r w:rsidRPr="0053705C">
        <w:rPr>
          <w:sz w:val="24"/>
          <w:szCs w:val="24"/>
        </w:rPr>
        <w:t>Mgr</w:t>
      </w:r>
      <w:proofErr w:type="spellEnd"/>
      <w:r w:rsidRPr="0053705C">
        <w:rPr>
          <w:sz w:val="24"/>
          <w:szCs w:val="24"/>
        </w:rPr>
        <w:t>.) titulus.</w:t>
      </w:r>
    </w:p>
    <w:p w:rsidR="00D239F4" w:rsidRPr="0053705C" w:rsidRDefault="00D239F4" w:rsidP="00D239F4">
      <w:pPr>
        <w:rPr>
          <w:sz w:val="24"/>
          <w:szCs w:val="24"/>
        </w:rPr>
      </w:pPr>
      <w:r w:rsidRPr="0053705C">
        <w:rPr>
          <w:sz w:val="24"/>
          <w:szCs w:val="24"/>
        </w:rPr>
        <w:t xml:space="preserve">Az oktatási rendszerrel kapcsolatos kérdések a tagállamok hatáskörébe tartoznak, valamint – harmonizáció hiányában – a tagállamok állapítják meg egy szakma gyakorlásához szükséges feltételeket. Azonban az Európai Bíróság gyakorlata értelmében a tagállamoknak e hatáskört a Szerződések által garantált alapvető szabadságjogok figyelembe vételével kell gyakorolniuk. Az Európai Unió Bírósága egyik ítéletében megállapította, hogy a tagállamok kötelesek figyelembe venni a más tagállamok területén megszerzett képesítéseket; különbözeti vizsgát csak abban az esetben írhatnak elő, ha az adott tagállamban, valamint a más tagállamban megszerzett végzettség által tanúsított képzettség között történt objektív összehasonlítást követően hiányosságokat tárnak fel. </w:t>
      </w:r>
    </w:p>
    <w:p w:rsidR="00D239F4" w:rsidRPr="0053705C" w:rsidRDefault="00D239F4" w:rsidP="00D239F4">
      <w:pPr>
        <w:rPr>
          <w:sz w:val="24"/>
          <w:szCs w:val="24"/>
        </w:rPr>
      </w:pPr>
      <w:r w:rsidRPr="0053705C">
        <w:rPr>
          <w:sz w:val="24"/>
          <w:szCs w:val="24"/>
        </w:rPr>
        <w:t>Mivel álláspontom szerint a szlovák hatóságok döntése sérti az uniós jogot többek között azzal, hogy nem történt meg a más tagállamban szerzett végzettségek számbavétele, illetve ez a gyakorlat sérti az európai polgárok alapvető jogállásául szolgáló európai polgárság által garantált jogosultságokat is, azt kérdeztem az Európai Bizottságtól: a jelenlegi helyzet nem sérti a személyek szabad mozgásának uniós elvét?</w:t>
      </w:r>
    </w:p>
    <w:p w:rsidR="00D239F4" w:rsidRPr="0053705C" w:rsidRDefault="00D239F4" w:rsidP="00D239F4">
      <w:pPr>
        <w:rPr>
          <w:sz w:val="24"/>
          <w:szCs w:val="24"/>
        </w:rPr>
      </w:pPr>
      <w:r w:rsidRPr="0053705C">
        <w:rPr>
          <w:b/>
          <w:sz w:val="24"/>
          <w:szCs w:val="24"/>
        </w:rPr>
        <w:t xml:space="preserve">Michel </w:t>
      </w:r>
      <w:proofErr w:type="spellStart"/>
      <w:r w:rsidRPr="0053705C">
        <w:rPr>
          <w:b/>
          <w:sz w:val="24"/>
          <w:szCs w:val="24"/>
        </w:rPr>
        <w:t>Barnier</w:t>
      </w:r>
      <w:proofErr w:type="spellEnd"/>
      <w:r w:rsidRPr="0053705C">
        <w:rPr>
          <w:sz w:val="24"/>
          <w:szCs w:val="24"/>
        </w:rPr>
        <w:t>, az EB belső piacokért felelős biztosa kérdésemre az alábbi választ küldte: „</w:t>
      </w:r>
      <w:proofErr w:type="gramStart"/>
      <w:r w:rsidRPr="0053705C">
        <w:rPr>
          <w:sz w:val="24"/>
          <w:szCs w:val="24"/>
        </w:rPr>
        <w:t>A</w:t>
      </w:r>
      <w:proofErr w:type="gramEnd"/>
      <w:r w:rsidRPr="0053705C">
        <w:rPr>
          <w:sz w:val="24"/>
          <w:szCs w:val="24"/>
        </w:rPr>
        <w:t xml:space="preserve"> szakmai képesítések elismerését a 2005/36/EK irányelv szabályozza. Az irányelv a teljes értékű szakmai képesítéssel </w:t>
      </w:r>
      <w:proofErr w:type="gramStart"/>
      <w:r w:rsidRPr="0053705C">
        <w:rPr>
          <w:sz w:val="24"/>
          <w:szCs w:val="24"/>
        </w:rPr>
        <w:t>rendelkező</w:t>
      </w:r>
      <w:proofErr w:type="gramEnd"/>
      <w:r w:rsidRPr="0053705C">
        <w:rPr>
          <w:sz w:val="24"/>
          <w:szCs w:val="24"/>
        </w:rPr>
        <w:t xml:space="preserve"> személyek tagállamok közötti mozgását segíti: lehetővé teszi számukra, hogy egy másik tagállamban ugyanazokat a jogokat élvezzék a szakmájukban történő munkavállalás kapcsán, mint az ottani állampolgárok. Az irányelv olyan esetekben alkalmazható, amikor a tagállami szabályozás egy bizonyos szakma esetében konkrét képesítéshez köti a munkavállalást.</w:t>
      </w:r>
    </w:p>
    <w:p w:rsidR="00D239F4" w:rsidRPr="0053705C" w:rsidRDefault="00D239F4" w:rsidP="00D239F4">
      <w:pPr>
        <w:rPr>
          <w:sz w:val="24"/>
          <w:szCs w:val="24"/>
        </w:rPr>
      </w:pPr>
      <w:r w:rsidRPr="0053705C">
        <w:rPr>
          <w:sz w:val="24"/>
          <w:szCs w:val="24"/>
        </w:rPr>
        <w:t xml:space="preserve">Az Európai Unió szintjén a tanári, illetve tanítói szakma nincs harmonizálva. A tanári, illetve tanítói képesítések elismerése az úgynevezett általános rendszer keretében történik. Ez azt jelenti, hogy a fogadó tagállamnak akkor is lehetővé kell tennie az uniós polgár számára, hogy a területén egy adott szakmát gyakoroljon, ha az adott személy nem rendelkezik az adott tagállam szabályai szerinti végzettséggel, de rendelkezik azzal a képesítéssel, amely egy </w:t>
      </w:r>
      <w:r w:rsidRPr="0053705C">
        <w:rPr>
          <w:sz w:val="24"/>
          <w:szCs w:val="24"/>
        </w:rPr>
        <w:lastRenderedPageBreak/>
        <w:t>másik tagállamban ugyanannak a szakmának a megkezdésére vagy gyakorlására feljogosítja. Ha a migráns munkavállaló képesítése és a fogadó tagállamban megkövetelt képesítés között alapvető különbségek vannak, akkor a fogadó tagállam ellentételező intézkedést gyakorolhat.</w:t>
      </w:r>
    </w:p>
    <w:p w:rsidR="00D239F4" w:rsidRPr="0053705C" w:rsidRDefault="00D239F4" w:rsidP="00D239F4">
      <w:pPr>
        <w:rPr>
          <w:sz w:val="24"/>
          <w:szCs w:val="24"/>
        </w:rPr>
      </w:pPr>
      <w:r w:rsidRPr="0053705C">
        <w:rPr>
          <w:sz w:val="24"/>
          <w:szCs w:val="24"/>
        </w:rPr>
        <w:t xml:space="preserve">Az átadott információk alapján nem határozható meg, hogy sérült-e az EU joga, mint ahogy az sem, hogy a szóban forgó eset egyáltalán az irányelv hatálya alá tartozik-e, vagy pedig inkább az oktatás területén kiadott tudományos fokozatok elismeréséről van szó. A Bizottság ezért arra biztatja az érintett polgárokat, hogy – akár Magyarországon, akár Szlovákiában – lépjenek kapcsolatba a szakmai képesítések elismerésével foglalkozó tagállami kapcsolattartó ponttal vagy a tudományos fokozatok elismerésével foglalkozó nemzeti információs központtal.” </w:t>
      </w:r>
    </w:p>
    <w:p w:rsidR="00D239F4" w:rsidRPr="0053705C" w:rsidRDefault="00D239F4" w:rsidP="00D239F4">
      <w:pPr>
        <w:rPr>
          <w:rFonts w:ascii="Times New Roman" w:hAnsi="Times New Roman" w:cs="Times New Roman"/>
          <w:color w:val="0000FF"/>
          <w:sz w:val="24"/>
          <w:szCs w:val="24"/>
        </w:rPr>
      </w:pPr>
      <w:proofErr w:type="spellStart"/>
      <w:r w:rsidRPr="0053705C">
        <w:rPr>
          <w:rFonts w:ascii="Times New Roman" w:hAnsi="Times New Roman" w:cs="Times New Roman"/>
          <w:color w:val="0000FF"/>
          <w:sz w:val="24"/>
          <w:szCs w:val="24"/>
        </w:rPr>
        <w:t>Barnier</w:t>
      </w:r>
      <w:proofErr w:type="spellEnd"/>
      <w:r w:rsidRPr="0053705C">
        <w:rPr>
          <w:rFonts w:ascii="Times New Roman" w:hAnsi="Times New Roman" w:cs="Times New Roman"/>
          <w:color w:val="0000FF"/>
          <w:sz w:val="24"/>
          <w:szCs w:val="24"/>
        </w:rPr>
        <w:t xml:space="preserve"> biztos válaszát követően a munkavállalás szabadságának korlátozása oldaláról vettem górcső alá a problémát és erre összpontosítva címeztem kérdést az Európai Bizottsághoz: </w:t>
      </w:r>
    </w:p>
    <w:p w:rsidR="00D239F4" w:rsidRPr="0053705C" w:rsidRDefault="00D239F4" w:rsidP="00D239F4">
      <w:pPr>
        <w:pStyle w:val="NormlWeb"/>
      </w:pPr>
      <w:proofErr w:type="gramStart"/>
      <w:r w:rsidRPr="0053705C">
        <w:t>A rendelkezésünkre álló iratokból egyértelműen kitűnik, hogy az érintett személyek tanári állás gyakorlásához szükséges képesítéseket szereztek Magyarországon, és végzettségüket a szlovák hatóságok/intézmények egyenértékűnek ismerték el</w:t>
      </w:r>
      <w:bookmarkStart w:id="0" w:name="ref1"/>
      <w:r w:rsidR="00795A81" w:rsidRPr="0053705C">
        <w:rPr>
          <w:rStyle w:val="sup"/>
        </w:rPr>
        <w:fldChar w:fldCharType="begin"/>
      </w:r>
      <w:r w:rsidRPr="0053705C">
        <w:rPr>
          <w:rStyle w:val="sup"/>
        </w:rPr>
        <w:instrText xml:space="preserve"> HYPERLINK "http://www.europarl.europa.eu/sides/getDoc.do?pubRef=-//EP//TEXT+WQ+E-2012-001619+0+DOC+XML+V0//HU&amp;language=HU" \l "def1" </w:instrText>
      </w:r>
      <w:r w:rsidR="00795A81" w:rsidRPr="0053705C">
        <w:rPr>
          <w:rStyle w:val="sup"/>
        </w:rPr>
        <w:fldChar w:fldCharType="separate"/>
      </w:r>
      <w:r w:rsidRPr="0053705C">
        <w:rPr>
          <w:rStyle w:val="sup"/>
          <w:color w:val="0000FF"/>
        </w:rPr>
        <w:t>(1)</w:t>
      </w:r>
      <w:r w:rsidR="00795A81" w:rsidRPr="0053705C">
        <w:rPr>
          <w:rStyle w:val="sup"/>
        </w:rPr>
        <w:fldChar w:fldCharType="end"/>
      </w:r>
      <w:bookmarkEnd w:id="0"/>
      <w:r w:rsidRPr="0053705C">
        <w:t xml:space="preserve">. A </w:t>
      </w:r>
      <w:proofErr w:type="spellStart"/>
      <w:r w:rsidRPr="0053705C">
        <w:t>PaedDr</w:t>
      </w:r>
      <w:proofErr w:type="spellEnd"/>
      <w:r w:rsidRPr="0053705C">
        <w:t xml:space="preserve"> (</w:t>
      </w:r>
      <w:proofErr w:type="spellStart"/>
      <w:r w:rsidRPr="0053705C">
        <w:rPr>
          <w:rStyle w:val="italic"/>
        </w:rPr>
        <w:t>paedagogicae</w:t>
      </w:r>
      <w:proofErr w:type="spellEnd"/>
      <w:r w:rsidRPr="0053705C">
        <w:rPr>
          <w:rStyle w:val="italic"/>
        </w:rPr>
        <w:t xml:space="preserve"> </w:t>
      </w:r>
      <w:proofErr w:type="spellStart"/>
      <w:r w:rsidRPr="0053705C">
        <w:rPr>
          <w:rStyle w:val="italic"/>
        </w:rPr>
        <w:t>doctor</w:t>
      </w:r>
      <w:proofErr w:type="spellEnd"/>
      <w:r w:rsidRPr="0053705C">
        <w:t>) képzésből kizárólag azzal az indokkal zárták ki az érintetteket – nagy részüket közvetlenül a záróvizsgákat megelőzően –, hogy a vonatkozó szlovák szabályozás e képzésben való részvételt kizárólag</w:t>
      </w:r>
      <w:proofErr w:type="gramEnd"/>
      <w:r w:rsidRPr="0053705C">
        <w:t xml:space="preserve"> </w:t>
      </w:r>
      <w:proofErr w:type="spellStart"/>
      <w:r w:rsidRPr="0053705C">
        <w:t>Mgr</w:t>
      </w:r>
      <w:proofErr w:type="spellEnd"/>
      <w:r w:rsidRPr="0053705C">
        <w:t xml:space="preserve"> egyetemi végzettséggel rendelkezők számára teszi lehetővé.</w:t>
      </w:r>
    </w:p>
    <w:p w:rsidR="00D239F4" w:rsidRPr="0053705C" w:rsidRDefault="00D239F4" w:rsidP="00D239F4">
      <w:pPr>
        <w:pStyle w:val="NormlWeb"/>
      </w:pPr>
      <w:r w:rsidRPr="0053705C">
        <w:t xml:space="preserve">Álláspontom szerint is bizonytalannak tekinthető ebben a helyzetben a 2005/36/EK irányelv alkalmazhatósága. </w:t>
      </w:r>
      <w:proofErr w:type="gramStart"/>
      <w:r w:rsidRPr="0053705C">
        <w:t>Az uniós jog azonban megköveteli, hogy a tagállamok az oktatás területén meglévő hatásköreik gyakorlása során ne akadályozzák többek között a munkavállalás szabadságát</w:t>
      </w:r>
      <w:bookmarkStart w:id="1" w:name="ref2"/>
      <w:r w:rsidR="00795A81" w:rsidRPr="0053705C">
        <w:rPr>
          <w:rStyle w:val="sup"/>
        </w:rPr>
        <w:fldChar w:fldCharType="begin"/>
      </w:r>
      <w:r w:rsidRPr="0053705C">
        <w:rPr>
          <w:rStyle w:val="sup"/>
        </w:rPr>
        <w:instrText xml:space="preserve"> HYPERLINK "http://www.europarl.europa.eu/sides/getDoc.do?pubRef=-//EP//TEXT+WQ+E-2012-001619+0+DOC+XML+V0//HU&amp;language=HU" \l "def2" </w:instrText>
      </w:r>
      <w:r w:rsidR="00795A81" w:rsidRPr="0053705C">
        <w:rPr>
          <w:rStyle w:val="sup"/>
        </w:rPr>
        <w:fldChar w:fldCharType="separate"/>
      </w:r>
      <w:r w:rsidRPr="0053705C">
        <w:rPr>
          <w:rStyle w:val="sup"/>
          <w:color w:val="0000FF"/>
        </w:rPr>
        <w:t>(2)</w:t>
      </w:r>
      <w:r w:rsidR="00795A81" w:rsidRPr="0053705C">
        <w:rPr>
          <w:rStyle w:val="sup"/>
        </w:rPr>
        <w:fldChar w:fldCharType="end"/>
      </w:r>
      <w:bookmarkEnd w:id="1"/>
      <w:r w:rsidRPr="0053705C">
        <w:t xml:space="preserve">. Másrészt az </w:t>
      </w:r>
      <w:proofErr w:type="spellStart"/>
      <w:r w:rsidRPr="0053705C">
        <w:t>az</w:t>
      </w:r>
      <w:proofErr w:type="spellEnd"/>
      <w:r w:rsidRPr="0053705C">
        <w:t xml:space="preserve"> elv, miszerint a tagállamoknak figyelembe kell venniük a más tagállamokban megszerzett végzettségeket, a szerződések által biztosított alapszabadságok részét képezi, így az nem függhet egy irányelv megalkotásától/alkalmazhatóságától</w:t>
      </w:r>
      <w:bookmarkStart w:id="2" w:name="ref3"/>
      <w:proofErr w:type="gramEnd"/>
      <w:r w:rsidR="00795A81" w:rsidRPr="0053705C">
        <w:rPr>
          <w:rStyle w:val="sup"/>
        </w:rPr>
        <w:fldChar w:fldCharType="begin"/>
      </w:r>
      <w:r w:rsidRPr="0053705C">
        <w:rPr>
          <w:rStyle w:val="sup"/>
        </w:rPr>
        <w:instrText xml:space="preserve"> HYPERLINK "http://www.europarl.europa.eu/sides/getDoc.do?pubRef=-//EP//TEXT+WQ+E-2012-001619+0+DOC+XML+V0//HU&amp;language=HU" \l "def3" </w:instrText>
      </w:r>
      <w:r w:rsidR="00795A81" w:rsidRPr="0053705C">
        <w:rPr>
          <w:rStyle w:val="sup"/>
        </w:rPr>
        <w:fldChar w:fldCharType="separate"/>
      </w:r>
      <w:r w:rsidRPr="0053705C">
        <w:rPr>
          <w:rStyle w:val="sup"/>
          <w:color w:val="0000FF"/>
        </w:rPr>
        <w:t>(3)</w:t>
      </w:r>
      <w:r w:rsidR="00795A81" w:rsidRPr="0053705C">
        <w:rPr>
          <w:rStyle w:val="sup"/>
        </w:rPr>
        <w:fldChar w:fldCharType="end"/>
      </w:r>
      <w:bookmarkEnd w:id="2"/>
      <w:r w:rsidRPr="0053705C">
        <w:t>.</w:t>
      </w:r>
    </w:p>
    <w:p w:rsidR="00D239F4" w:rsidRPr="0053705C" w:rsidRDefault="00D239F4" w:rsidP="00D239F4">
      <w:pPr>
        <w:pStyle w:val="NormlWeb"/>
      </w:pPr>
      <w:proofErr w:type="gramStart"/>
      <w:r w:rsidRPr="0053705C">
        <w:t xml:space="preserve">Ha a </w:t>
      </w:r>
      <w:proofErr w:type="spellStart"/>
      <w:r w:rsidRPr="0053705C">
        <w:t>PaedDr</w:t>
      </w:r>
      <w:proofErr w:type="spellEnd"/>
      <w:r w:rsidRPr="0053705C">
        <w:t xml:space="preserve"> képzettség nem elengedhetetlen feltétele Szlovákiában a tanári szakma gyakorlásának, e képzettség előnyt jelent a munkavállaláshoz, gyorsabb szakmai előmenetelt, magasabb fizetést tesz lehetővé</w:t>
      </w:r>
      <w:bookmarkStart w:id="3" w:name="ref4"/>
      <w:r w:rsidR="00795A81" w:rsidRPr="0053705C">
        <w:rPr>
          <w:rStyle w:val="sup"/>
        </w:rPr>
        <w:fldChar w:fldCharType="begin"/>
      </w:r>
      <w:r w:rsidRPr="0053705C">
        <w:rPr>
          <w:rStyle w:val="sup"/>
        </w:rPr>
        <w:instrText xml:space="preserve"> HYPERLINK "http://www.europarl.europa.eu/sides/getDoc.do?pubRef=-//EP//TEXT+WQ+E-2012-001619+0+DOC+XML+V0//HU&amp;language=HU" \l "def4" </w:instrText>
      </w:r>
      <w:r w:rsidR="00795A81" w:rsidRPr="0053705C">
        <w:rPr>
          <w:rStyle w:val="sup"/>
        </w:rPr>
        <w:fldChar w:fldCharType="separate"/>
      </w:r>
      <w:r w:rsidRPr="0053705C">
        <w:rPr>
          <w:rStyle w:val="sup"/>
          <w:color w:val="0000FF"/>
        </w:rPr>
        <w:t>(4)</w:t>
      </w:r>
      <w:r w:rsidR="00795A81" w:rsidRPr="0053705C">
        <w:rPr>
          <w:rStyle w:val="sup"/>
        </w:rPr>
        <w:fldChar w:fldCharType="end"/>
      </w:r>
      <w:bookmarkEnd w:id="3"/>
      <w:r w:rsidRPr="0053705C">
        <w:t>. Azok, akik – a tanári képzettség megszerzésének ideje alatt – nem Szlovákiában tartózkodtak, rosszabb helyzetbe kerülnek a szlovák állampolgárokhoz képest, ami felveti az állampolgárság szerinti diszkriminációt a munkavállalás szabadságával összefüggésben</w:t>
      </w:r>
      <w:bookmarkStart w:id="4" w:name="ref5"/>
      <w:proofErr w:type="gramEnd"/>
      <w:r w:rsidR="00795A81" w:rsidRPr="0053705C">
        <w:rPr>
          <w:rStyle w:val="sup"/>
        </w:rPr>
        <w:fldChar w:fldCharType="begin"/>
      </w:r>
      <w:r w:rsidRPr="0053705C">
        <w:rPr>
          <w:rStyle w:val="sup"/>
        </w:rPr>
        <w:instrText xml:space="preserve"> HYPERLINK "http://www.europarl.europa.eu/sides/getDoc.do?pubRef=-//EP//TEXT+WQ+E-2012-001619+0+DOC+XML+V0//HU&amp;language=HU" \l "def5" </w:instrText>
      </w:r>
      <w:r w:rsidR="00795A81" w:rsidRPr="0053705C">
        <w:rPr>
          <w:rStyle w:val="sup"/>
        </w:rPr>
        <w:fldChar w:fldCharType="separate"/>
      </w:r>
      <w:r w:rsidRPr="0053705C">
        <w:rPr>
          <w:rStyle w:val="sup"/>
          <w:color w:val="0000FF"/>
        </w:rPr>
        <w:t>(5)</w:t>
      </w:r>
      <w:r w:rsidR="00795A81" w:rsidRPr="0053705C">
        <w:rPr>
          <w:rStyle w:val="sup"/>
        </w:rPr>
        <w:fldChar w:fldCharType="end"/>
      </w:r>
      <w:bookmarkEnd w:id="4"/>
      <w:r w:rsidRPr="0053705C">
        <w:t>.</w:t>
      </w:r>
    </w:p>
    <w:p w:rsidR="00D239F4" w:rsidRPr="0053705C" w:rsidRDefault="00D239F4" w:rsidP="00D239F4">
      <w:pPr>
        <w:pStyle w:val="NormlWeb"/>
        <w:rPr>
          <w:color w:val="0000FF"/>
        </w:rPr>
      </w:pPr>
      <w:r w:rsidRPr="0053705C">
        <w:rPr>
          <w:color w:val="0000FF"/>
        </w:rPr>
        <w:t>A hivatkozott döntések, valamint a Bíróság gyakorlatának fényében a Bizottság bizonyítottnak találja-e az adott kérdésben az uniós jog megsértését?</w:t>
      </w:r>
    </w:p>
    <w:p w:rsidR="00D239F4" w:rsidRPr="0053705C" w:rsidRDefault="00D239F4" w:rsidP="00D239F4">
      <w:pPr>
        <w:rPr>
          <w:sz w:val="24"/>
          <w:szCs w:val="24"/>
        </w:rPr>
      </w:pPr>
      <w:proofErr w:type="spellStart"/>
      <w:r w:rsidRPr="0053705C">
        <w:rPr>
          <w:b/>
          <w:sz w:val="24"/>
          <w:szCs w:val="24"/>
        </w:rPr>
        <w:t>Androulla</w:t>
      </w:r>
      <w:proofErr w:type="spellEnd"/>
      <w:r w:rsidRPr="0053705C">
        <w:rPr>
          <w:b/>
          <w:sz w:val="24"/>
          <w:szCs w:val="24"/>
        </w:rPr>
        <w:t xml:space="preserve"> </w:t>
      </w:r>
      <w:proofErr w:type="spellStart"/>
      <w:r w:rsidRPr="0053705C">
        <w:rPr>
          <w:b/>
          <w:sz w:val="24"/>
          <w:szCs w:val="24"/>
        </w:rPr>
        <w:t>Vassiliou</w:t>
      </w:r>
      <w:proofErr w:type="spellEnd"/>
      <w:r w:rsidRPr="0053705C">
        <w:rPr>
          <w:sz w:val="24"/>
          <w:szCs w:val="24"/>
        </w:rPr>
        <w:t>, az EB oktatási biztosa a kérdés kapcsán kifejtette: „</w:t>
      </w:r>
      <w:proofErr w:type="gramStart"/>
      <w:r w:rsidRPr="0053705C">
        <w:rPr>
          <w:sz w:val="24"/>
          <w:szCs w:val="24"/>
        </w:rPr>
        <w:t>A</w:t>
      </w:r>
      <w:proofErr w:type="gramEnd"/>
      <w:r w:rsidRPr="0053705C">
        <w:rPr>
          <w:sz w:val="24"/>
          <w:szCs w:val="24"/>
        </w:rPr>
        <w:t xml:space="preserve"> Bizottság először is kiemelné, hogy míg elsősorban a tagállamok felelősek az oktatási tartalomért és oktatási rendszerük megszervezéséért, az Európai Unió működéséről szóló szerződés (</w:t>
      </w:r>
      <w:proofErr w:type="spellStart"/>
      <w:r w:rsidRPr="0053705C">
        <w:rPr>
          <w:sz w:val="24"/>
          <w:szCs w:val="24"/>
        </w:rPr>
        <w:t>EUSz</w:t>
      </w:r>
      <w:proofErr w:type="spellEnd"/>
      <w:r w:rsidRPr="0053705C">
        <w:rPr>
          <w:sz w:val="24"/>
          <w:szCs w:val="24"/>
        </w:rPr>
        <w:t>.) 165. cikke értelmében az oktatáshoz való hozzáféréssel kapcsolatos kérdések a Szerződés hatálya alá tartoznak (lásd</w:t>
      </w:r>
      <w:proofErr w:type="gramStart"/>
      <w:r w:rsidRPr="0053705C">
        <w:rPr>
          <w:sz w:val="24"/>
          <w:szCs w:val="24"/>
        </w:rPr>
        <w:t>.:</w:t>
      </w:r>
      <w:proofErr w:type="gramEnd"/>
      <w:r w:rsidRPr="0053705C">
        <w:rPr>
          <w:sz w:val="24"/>
          <w:szCs w:val="24"/>
        </w:rPr>
        <w:t xml:space="preserve"> 293/83. sz. </w:t>
      </w:r>
      <w:proofErr w:type="spellStart"/>
      <w:r w:rsidRPr="0053705C">
        <w:rPr>
          <w:sz w:val="24"/>
          <w:szCs w:val="24"/>
        </w:rPr>
        <w:t>Gravier-ügy</w:t>
      </w:r>
      <w:proofErr w:type="spellEnd"/>
      <w:r w:rsidRPr="0053705C">
        <w:rPr>
          <w:sz w:val="24"/>
          <w:szCs w:val="24"/>
        </w:rPr>
        <w:t xml:space="preserve"> [1985] EBHT 593. o, 19. pont). Az </w:t>
      </w:r>
      <w:proofErr w:type="spellStart"/>
      <w:r w:rsidRPr="0053705C">
        <w:rPr>
          <w:sz w:val="24"/>
          <w:szCs w:val="24"/>
        </w:rPr>
        <w:t>EUSz</w:t>
      </w:r>
      <w:proofErr w:type="spellEnd"/>
      <w:r w:rsidRPr="0053705C">
        <w:rPr>
          <w:sz w:val="24"/>
          <w:szCs w:val="24"/>
        </w:rPr>
        <w:t xml:space="preserve">. 165. cikke alapján a tagállami egyetemek, mielőtt egy másik tagállamban szerzett diplomával </w:t>
      </w:r>
      <w:r w:rsidRPr="0053705C">
        <w:rPr>
          <w:sz w:val="24"/>
          <w:szCs w:val="24"/>
        </w:rPr>
        <w:lastRenderedPageBreak/>
        <w:t xml:space="preserve">rendelkező hallgatót egyetemük képzésére bocsáthatónak minősítenének, kérhetik a hallgatótól diplomája előzetes akadémiai elismerési eljárás keretében történő elismertetését. Ugyanakkor az összes olyan jelentkező általános kizárása, aki nem rendelkezik egy bizonyos nemzeti diplomával, alapvetően ellentétes lenne az uniós joggal. Pontosabban: ha a jelentkezők az adott tagállam állampolgárai, tekinthető úgy, hogy ezen intézkedések büntetik őket azért, mert úgy döntöttek, hogy külföldön folytatnak tanulmányokat, ami ellentétben állhat az </w:t>
      </w:r>
      <w:proofErr w:type="spellStart"/>
      <w:r w:rsidRPr="0053705C">
        <w:rPr>
          <w:sz w:val="24"/>
          <w:szCs w:val="24"/>
        </w:rPr>
        <w:t>EUSz</w:t>
      </w:r>
      <w:proofErr w:type="spellEnd"/>
      <w:r w:rsidRPr="0053705C">
        <w:rPr>
          <w:sz w:val="24"/>
          <w:szCs w:val="24"/>
        </w:rPr>
        <w:t xml:space="preserve">. 21. cikkével; amennyiben pedig a jelentkezők egy másik tagállam állampolgárai, egy ilyen kizárás nemzeti alapon történő hátrányos megkülönböztetésnek minősülhet, amit az </w:t>
      </w:r>
      <w:proofErr w:type="spellStart"/>
      <w:r w:rsidRPr="0053705C">
        <w:rPr>
          <w:sz w:val="24"/>
          <w:szCs w:val="24"/>
        </w:rPr>
        <w:t>EUSz</w:t>
      </w:r>
      <w:proofErr w:type="spellEnd"/>
      <w:r w:rsidRPr="0053705C">
        <w:rPr>
          <w:sz w:val="24"/>
          <w:szCs w:val="24"/>
        </w:rPr>
        <w:t xml:space="preserve">. 18. cikke tilt.” </w:t>
      </w:r>
    </w:p>
    <w:p w:rsidR="00D239F4" w:rsidRPr="0053705C" w:rsidRDefault="00D239F4" w:rsidP="00D239F4">
      <w:pPr>
        <w:rPr>
          <w:sz w:val="24"/>
          <w:szCs w:val="24"/>
        </w:rPr>
      </w:pPr>
      <w:r w:rsidRPr="0053705C">
        <w:rPr>
          <w:sz w:val="24"/>
          <w:szCs w:val="24"/>
        </w:rPr>
        <w:t xml:space="preserve">Az oktatási biztos további tájékoztatást vár arról, hogy a szlovák hatóságok tényleges és általános kizárást alkalmaznak-, alkalmaztak-e, mert a jogsértés valós megtörténte csak részletes és alapos vizsgálat után mondható ki. </w:t>
      </w:r>
    </w:p>
    <w:p w:rsidR="00D239F4" w:rsidRPr="0053705C" w:rsidRDefault="00D239F4" w:rsidP="00D239F4">
      <w:pPr>
        <w:rPr>
          <w:sz w:val="24"/>
          <w:szCs w:val="24"/>
        </w:rPr>
      </w:pPr>
      <w:r w:rsidRPr="0053705C">
        <w:rPr>
          <w:sz w:val="24"/>
          <w:szCs w:val="24"/>
        </w:rPr>
        <w:t xml:space="preserve">Az Európai Bizottság második válasza kedvező jelként értelmezhető a mielőbbi kiút megtalálásához a kérdéseket ihlető és az ahhoz hasonló ügyekben. </w:t>
      </w:r>
    </w:p>
    <w:p w:rsidR="00D239F4" w:rsidRPr="0053705C" w:rsidRDefault="00D239F4" w:rsidP="00D239F4">
      <w:pPr>
        <w:rPr>
          <w:sz w:val="24"/>
          <w:szCs w:val="24"/>
        </w:rPr>
      </w:pPr>
      <w:r w:rsidRPr="0053705C">
        <w:rPr>
          <w:sz w:val="24"/>
          <w:szCs w:val="24"/>
        </w:rPr>
        <w:t>Mészáros Alajos EP-képviselő</w:t>
      </w:r>
    </w:p>
    <w:sectPr w:rsidR="00D239F4" w:rsidRPr="0053705C" w:rsidSect="00CA79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97FC3"/>
    <w:multiLevelType w:val="hybridMultilevel"/>
    <w:tmpl w:val="2E26D760"/>
    <w:lvl w:ilvl="0" w:tplc="B21C80EA">
      <w:numFmt w:val="bullet"/>
      <w:lvlText w:val="-"/>
      <w:lvlJc w:val="left"/>
      <w:pPr>
        <w:ind w:left="720" w:hanging="360"/>
      </w:pPr>
      <w:rPr>
        <w:rFonts w:ascii="Courier New" w:eastAsia="Times New Roman"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49F"/>
    <w:rsid w:val="00046DE9"/>
    <w:rsid w:val="000A4873"/>
    <w:rsid w:val="000E054B"/>
    <w:rsid w:val="001A4ADD"/>
    <w:rsid w:val="00232074"/>
    <w:rsid w:val="00337023"/>
    <w:rsid w:val="0044221F"/>
    <w:rsid w:val="0053705C"/>
    <w:rsid w:val="005D449F"/>
    <w:rsid w:val="00795A81"/>
    <w:rsid w:val="009C3C3A"/>
    <w:rsid w:val="00B05A62"/>
    <w:rsid w:val="00C46225"/>
    <w:rsid w:val="00CA79B8"/>
    <w:rsid w:val="00D239F4"/>
    <w:rsid w:val="00D36E6D"/>
    <w:rsid w:val="00DA710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79B8"/>
  </w:style>
  <w:style w:type="paragraph" w:styleId="Cmsor1">
    <w:name w:val="heading 1"/>
    <w:basedOn w:val="Norml"/>
    <w:link w:val="Cmsor1Char"/>
    <w:uiPriority w:val="9"/>
    <w:qFormat/>
    <w:rsid w:val="00442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44221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221F"/>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44221F"/>
    <w:rPr>
      <w:rFonts w:ascii="Times New Roman" w:eastAsia="Times New Roman" w:hAnsi="Times New Roman" w:cs="Times New Roman"/>
      <w:b/>
      <w:bCs/>
      <w:sz w:val="27"/>
      <w:szCs w:val="27"/>
      <w:lang w:eastAsia="hu-HU"/>
    </w:rPr>
  </w:style>
  <w:style w:type="paragraph" w:styleId="NormlWeb">
    <w:name w:val="Normal (Web)"/>
    <w:basedOn w:val="Norml"/>
    <w:unhideWhenUsed/>
    <w:rsid w:val="004422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1A4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1A4ADD"/>
    <w:rPr>
      <w:rFonts w:ascii="Courier New" w:eastAsia="Times New Roman" w:hAnsi="Courier New" w:cs="Courier New"/>
      <w:sz w:val="20"/>
      <w:szCs w:val="20"/>
      <w:lang w:eastAsia="hu-HU"/>
    </w:rPr>
  </w:style>
  <w:style w:type="paragraph" w:styleId="Listaszerbekezds">
    <w:name w:val="List Paragraph"/>
    <w:basedOn w:val="Norml"/>
    <w:uiPriority w:val="34"/>
    <w:qFormat/>
    <w:rsid w:val="000A4873"/>
    <w:pPr>
      <w:ind w:left="720"/>
      <w:contextualSpacing/>
    </w:pPr>
  </w:style>
  <w:style w:type="paragraph" w:customStyle="1" w:styleId="Default">
    <w:name w:val="Default"/>
    <w:rsid w:val="00DA7109"/>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D239F4"/>
    <w:rPr>
      <w:color w:val="0000FF" w:themeColor="hyperlink"/>
      <w:u w:val="single"/>
    </w:rPr>
  </w:style>
  <w:style w:type="character" w:customStyle="1" w:styleId="sup">
    <w:name w:val="sup"/>
    <w:basedOn w:val="Bekezdsalapbettpusa"/>
    <w:rsid w:val="00D239F4"/>
  </w:style>
  <w:style w:type="character" w:customStyle="1" w:styleId="italic">
    <w:name w:val="italic"/>
    <w:basedOn w:val="Bekezdsalapbettpusa"/>
    <w:rsid w:val="00D239F4"/>
  </w:style>
</w:styles>
</file>

<file path=word/webSettings.xml><?xml version="1.0" encoding="utf-8"?>
<w:webSettings xmlns:r="http://schemas.openxmlformats.org/officeDocument/2006/relationships" xmlns:w="http://schemas.openxmlformats.org/wordprocessingml/2006/main">
  <w:divs>
    <w:div w:id="891884125">
      <w:bodyDiv w:val="1"/>
      <w:marLeft w:val="0"/>
      <w:marRight w:val="0"/>
      <w:marTop w:val="0"/>
      <w:marBottom w:val="0"/>
      <w:divBdr>
        <w:top w:val="none" w:sz="0" w:space="0" w:color="auto"/>
        <w:left w:val="none" w:sz="0" w:space="0" w:color="auto"/>
        <w:bottom w:val="none" w:sz="0" w:space="0" w:color="auto"/>
        <w:right w:val="none" w:sz="0" w:space="0" w:color="auto"/>
      </w:divBdr>
    </w:div>
    <w:div w:id="1307316183">
      <w:bodyDiv w:val="1"/>
      <w:marLeft w:val="0"/>
      <w:marRight w:val="0"/>
      <w:marTop w:val="0"/>
      <w:marBottom w:val="0"/>
      <w:divBdr>
        <w:top w:val="none" w:sz="0" w:space="0" w:color="auto"/>
        <w:left w:val="none" w:sz="0" w:space="0" w:color="auto"/>
        <w:bottom w:val="none" w:sz="0" w:space="0" w:color="auto"/>
        <w:right w:val="none" w:sz="0" w:space="0" w:color="auto"/>
      </w:divBdr>
    </w:div>
    <w:div w:id="1969309928">
      <w:bodyDiv w:val="1"/>
      <w:marLeft w:val="0"/>
      <w:marRight w:val="0"/>
      <w:marTop w:val="0"/>
      <w:marBottom w:val="0"/>
      <w:divBdr>
        <w:top w:val="none" w:sz="0" w:space="0" w:color="auto"/>
        <w:left w:val="none" w:sz="0" w:space="0" w:color="auto"/>
        <w:bottom w:val="none" w:sz="0" w:space="0" w:color="auto"/>
        <w:right w:val="none" w:sz="0" w:space="0" w:color="auto"/>
      </w:divBdr>
    </w:div>
    <w:div w:id="21049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1041</Words>
  <Characters>7186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Gy</cp:lastModifiedBy>
  <cp:revision>13</cp:revision>
  <dcterms:created xsi:type="dcterms:W3CDTF">2012-10-02T10:50:00Z</dcterms:created>
  <dcterms:modified xsi:type="dcterms:W3CDTF">2012-10-02T14:16:00Z</dcterms:modified>
</cp:coreProperties>
</file>